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件</w:t>
      </w:r>
      <w:r>
        <w:rPr>
          <w:rFonts w:ascii="黑体" w:hAnsi="宋体" w:eastAsia="黑体" w:cs="黑体"/>
          <w:sz w:val="28"/>
          <w:szCs w:val="28"/>
        </w:rPr>
        <w:t>1</w:t>
      </w:r>
    </w:p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科技馆免费开放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襄阳市科技馆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2022年4月13日</w:t>
      </w:r>
    </w:p>
    <w:tbl>
      <w:tblPr>
        <w:tblStyle w:val="1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311"/>
        <w:gridCol w:w="1028"/>
        <w:gridCol w:w="1025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科技馆免费开放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襄阳市科协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襄阳市科技馆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1、部门预算项目√  2、财政专项 □ 3、政府性基金项目 □  ４、其他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959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929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96.87%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年度绩效目标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2（80分）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产出指标（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 w:eastAsia="zh-CN"/>
              </w:rPr>
              <w:t>临时展览次数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至少2次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及时率指标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运行天数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不少于300天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新馆免费开放297天，老馆免费开放237天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zh-CN" w:eastAsia="zh-CN"/>
              </w:rPr>
              <w:t>馆内展品件数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800件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800件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年参观人次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354746人次（新馆326375人次、老馆28371人次）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主题特色活动次数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16次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采购服务质量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质量达标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质量达标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服务质量达标率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时效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费用支出及时率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default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成本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设备采购成本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公开招标控制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按照政府采购管理开展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效益指标（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保障参观区域及办公区域环境整洁舒适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整洁舒适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整洁舒适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可持续影响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合理利用免费开放项目资金，提升场馆硬件设施配备、改善环境。持续开展免费开放，为市民科普文化素质提供贡献积极力量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持续开展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社会效益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通过展品更新及场馆改造，提升襄阳市科技馆在行业中知名度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提高知名度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知名度提高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满意度指标（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1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公众满意度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参观公众对免费开放工作满意度</w:t>
            </w:r>
          </w:p>
        </w:tc>
        <w:tc>
          <w:tcPr>
            <w:tcW w:w="1466" w:type="dxa"/>
            <w:vAlign w:val="center"/>
          </w:tcPr>
          <w:p>
            <w:pPr>
              <w:pStyle w:val="7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FFFF00"/>
                <w:position w:val="0"/>
                <w:sz w:val="21"/>
                <w:szCs w:val="21"/>
                <w:u w:val="none"/>
                <w:shd w:val="clear" w:color="auto" w:fill="8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93.37分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项目总预算959万元，实际支出金额929万元，结余资金约30万元，预算执行率为96.87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%，项目原设置绩效目标基本完成，不存在相关问题。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一是加强预算管理。在馆内推行“无预算不支出”的资金支出原则，按照各部室上报-财务部门汇总统筹-集体研究确定的程序进一步强化预算管理，加强项目支出范围及额度确定的科学性。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二是加强预算执行管理，严格按照批复预算开展项目实施，强化预算执行监督，提高预算执行成效。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1MzAzZjU3ZDE4MTFhMzFiYzA2N2YzNjEzOTdkYWIifQ=="/>
  </w:docVars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20A7ABD"/>
    <w:rsid w:val="036A0566"/>
    <w:rsid w:val="0547085C"/>
    <w:rsid w:val="08BC5745"/>
    <w:rsid w:val="094E0A65"/>
    <w:rsid w:val="098107F2"/>
    <w:rsid w:val="099F3F9F"/>
    <w:rsid w:val="0C4E5E32"/>
    <w:rsid w:val="0E47122E"/>
    <w:rsid w:val="117300F6"/>
    <w:rsid w:val="1183057E"/>
    <w:rsid w:val="12817F48"/>
    <w:rsid w:val="12CE4ADC"/>
    <w:rsid w:val="161A0D9D"/>
    <w:rsid w:val="193157FB"/>
    <w:rsid w:val="1B6E3977"/>
    <w:rsid w:val="1DE61047"/>
    <w:rsid w:val="1EE12744"/>
    <w:rsid w:val="1EF01511"/>
    <w:rsid w:val="236F528E"/>
    <w:rsid w:val="293F3AF0"/>
    <w:rsid w:val="294D3BB6"/>
    <w:rsid w:val="29A80723"/>
    <w:rsid w:val="2A931A01"/>
    <w:rsid w:val="2B8E7548"/>
    <w:rsid w:val="2C076F19"/>
    <w:rsid w:val="2C290ABC"/>
    <w:rsid w:val="2F744FEA"/>
    <w:rsid w:val="2F8F6A57"/>
    <w:rsid w:val="32F333A1"/>
    <w:rsid w:val="336D7E92"/>
    <w:rsid w:val="339E27CD"/>
    <w:rsid w:val="3499186B"/>
    <w:rsid w:val="350F7EFE"/>
    <w:rsid w:val="37F718E9"/>
    <w:rsid w:val="39273355"/>
    <w:rsid w:val="3AC702FC"/>
    <w:rsid w:val="3BB65ECF"/>
    <w:rsid w:val="3FF605A1"/>
    <w:rsid w:val="42453BFF"/>
    <w:rsid w:val="43634AB2"/>
    <w:rsid w:val="45691D99"/>
    <w:rsid w:val="497A5F98"/>
    <w:rsid w:val="49D246CF"/>
    <w:rsid w:val="4B4B6F07"/>
    <w:rsid w:val="4CDA33CA"/>
    <w:rsid w:val="4D744B90"/>
    <w:rsid w:val="50645BE0"/>
    <w:rsid w:val="51294138"/>
    <w:rsid w:val="51D3291E"/>
    <w:rsid w:val="546E59E1"/>
    <w:rsid w:val="55AF2676"/>
    <w:rsid w:val="56551A55"/>
    <w:rsid w:val="57B81486"/>
    <w:rsid w:val="5832124F"/>
    <w:rsid w:val="58FD37D0"/>
    <w:rsid w:val="59273C3B"/>
    <w:rsid w:val="593767E7"/>
    <w:rsid w:val="59EA1BAA"/>
    <w:rsid w:val="5B1E01CB"/>
    <w:rsid w:val="5BE62C0B"/>
    <w:rsid w:val="5D996E45"/>
    <w:rsid w:val="5DA80F44"/>
    <w:rsid w:val="5EBF14CB"/>
    <w:rsid w:val="5F6F16D0"/>
    <w:rsid w:val="5FD84818"/>
    <w:rsid w:val="620058FF"/>
    <w:rsid w:val="66AE5B2A"/>
    <w:rsid w:val="67400A2C"/>
    <w:rsid w:val="67980C16"/>
    <w:rsid w:val="679E2BF3"/>
    <w:rsid w:val="6923499F"/>
    <w:rsid w:val="6B056B98"/>
    <w:rsid w:val="6B361F3A"/>
    <w:rsid w:val="6BC849C4"/>
    <w:rsid w:val="6F5E4911"/>
    <w:rsid w:val="6FCF2FC1"/>
    <w:rsid w:val="70E23E46"/>
    <w:rsid w:val="71527F49"/>
    <w:rsid w:val="721F0EDC"/>
    <w:rsid w:val="723A6C34"/>
    <w:rsid w:val="7334084B"/>
    <w:rsid w:val="75581EE0"/>
    <w:rsid w:val="776A159F"/>
    <w:rsid w:val="79B269CC"/>
    <w:rsid w:val="7AB038A6"/>
    <w:rsid w:val="7B317800"/>
    <w:rsid w:val="7D2636DF"/>
    <w:rsid w:val="7F1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26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6">
    <w:name w:val="heading 4"/>
    <w:basedOn w:val="1"/>
    <w:next w:val="1"/>
    <w:link w:val="27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6">
    <w:name w:val="annotation subject"/>
    <w:basedOn w:val="7"/>
    <w:next w:val="7"/>
    <w:link w:val="35"/>
    <w:semiHidden/>
    <w:qFormat/>
    <w:uiPriority w:val="99"/>
    <w:rPr>
      <w:b/>
      <w:bCs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99"/>
  </w:style>
  <w:style w:type="character" w:styleId="21">
    <w:name w:val="FollowedHyperlink"/>
    <w:semiHidden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标题 1 Char"/>
    <w:link w:val="3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5">
    <w:name w:val="标题 2 Char"/>
    <w:link w:val="4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6">
    <w:name w:val="标题 3 Char"/>
    <w:link w:val="5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7">
    <w:name w:val="标题 4 Char"/>
    <w:link w:val="6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8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styleId="29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/>
    </w:pPr>
  </w:style>
  <w:style w:type="paragraph" w:customStyle="1" w:styleId="31">
    <w:name w:val="TOC Heading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2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3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4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5">
    <w:name w:val="批注主题 Char"/>
    <w:basedOn w:val="28"/>
    <w:link w:val="1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6">
    <w:name w:val="日期 Char"/>
    <w:basedOn w:val="18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7">
    <w:name w:val="批注框文本 Char"/>
    <w:basedOn w:val="18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脚 Char"/>
    <w:basedOn w:val="18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9">
    <w:name w:val="页眉 Char"/>
    <w:basedOn w:val="18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40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6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9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1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5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6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9">
    <w:name w:val="正文1"/>
    <w:basedOn w:val="80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80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DCDE3-BB3F-4B91-8B01-D2BD7DB1D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1152</Words>
  <Characters>1263</Characters>
  <Lines>98</Lines>
  <Paragraphs>27</Paragraphs>
  <TotalTime>2</TotalTime>
  <ScaleCrop>false</ScaleCrop>
  <LinksUpToDate>false</LinksUpToDate>
  <CharactersWithSpaces>1312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2020-08-12T09:04:00Z</dcterms:created>
  <dc:creator>微软用户</dc:creator>
  <cp:lastModifiedBy>Lenovo</cp:lastModifiedBy>
  <cp:lastPrinted>2023-04-18T07:24:49Z</cp:lastPrinted>
  <dcterms:modified xsi:type="dcterms:W3CDTF">2023-04-18T07:25:25Z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1925BA9092B0495E903F83387A54CCB4_12</vt:lpwstr>
  </property>
</Properties>
</file>