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52" w:beforeAutospacing="0" w:after="0" w:afterAutospacing="0" w:line="540" w:lineRule="atLeast"/>
        <w:ind w:left="0" w:right="0" w:firstLine="539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52" w:beforeAutospacing="0" w:after="0" w:afterAutospacing="0" w:line="540" w:lineRule="atLeast"/>
        <w:ind w:left="0" w:right="0" w:firstLine="539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襄阳</w: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>市市级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科普基地</w:t>
      </w:r>
      <w:r>
        <w:rPr>
          <w:rFonts w:hint="eastAsia" w:ascii="宋体" w:hAnsi="宋体" w:eastAsia="宋体" w:cs="宋体"/>
          <w:sz w:val="44"/>
          <w:szCs w:val="44"/>
        </w:rPr>
        <w:t>命名办法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32" w:beforeAutospacing="0" w:after="0" w:afterAutospacing="0" w:line="520" w:lineRule="exact"/>
        <w:ind w:left="0" w:right="0" w:firstLine="539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第一章  总则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第一条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  根据《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湖北省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科学技术普及条例》，为规范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襄阳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市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科普基地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管理，制定本办法。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第二条 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本办法适用于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襄阳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市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市级各类科普基地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的申报、推荐、评审、命名、服务与管理。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第三条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本办法所称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科普基地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，是指开展社会性、群众性、经常性科普活动的有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形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平台，是弘扬科学精神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普及科学技术知识、倡导科学方法、传播科学思想的重要载体，是向公众提供科普产品与服务的组织与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设施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科普基地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主要包括：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（一）具有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较丰富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科普资源的科技馆、博物馆、文化馆、天文馆、气象台、地震台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青少年科技活动中心、妇女儿童活动中心等。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（二）具有科普展教功能的自然、历史、旅游等社会公共场所，如动植物园、地质或森林公园、自然保护区、文化保护地等。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（三）高等院校、科研机构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、学会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及企事业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等其他组织向公众开放的展示体验中心、创新创业培训机构、实验室、研发中心、生产设施（或流程）等。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（四）其他向公众开放的具备科普展教功能的机构、场所或设施。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如社区（村）、企业、农技协等。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第四条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科普基地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由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襄阳市科学技术协会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命名。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第五条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科普基地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采取“统一命名、分类指导、社会监督、定期考评、动态调整”的运行和培育机制。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第二章  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第六条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在本市行政区域内登记或注册的法人单位均可申报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科普基地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第七条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市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级科普基地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应具备以下条件：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将科普工作纳入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年度工作计划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，有明确的科普工作目标和任务，有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落实科普工作的组织；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（二）有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2名以上落实科普工作的专兼职工作人员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textAlignment w:val="auto"/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（三）开展科技志愿服务，建立有10人以上的科技志愿服务队伍；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拥有主题内容明确、形式多样的科普展教资源，有针对不同人群、主题鲜明的科普活动方案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。媒体类团体要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有固定的栏目或版面从事科普宣传；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有开展经常性科普活动所需的经费；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textAlignment w:val="auto"/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（六）结合全国科普日、科技活动周等节点，开展科技培训、科普报告、农技服务、应急科普等公益性服务；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（七）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科技馆、博物馆等具备常年开放条件的机构，每年向公众开放的天数不少于250天；其他具备向公众开放的科研机构、高等学校、观测台（站）、科技型企业等机构，每年向公众开放的天数不少于30天。以上机构应向社会公布开放的具体时间及活动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（八）持续开展科普活动半年以上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，并取得一定成效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第三章  推荐与申报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第八条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襄阳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市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全民科学素质工作领导小组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成员单位所属二级机构申报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科普基地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的，由其主管单位推荐；其他单位申报的，由所在县（市、区）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科协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推荐。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第九条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申报须提供以下材料，并保证材料的真实性和准确性：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（一）科普教育基地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申报书；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单位法人证书或营业执照及相关资质证明材料；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场地和仪器设备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清单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科普工作管理制度、科普工作年度计划和总结；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开展各类科普活动或从事科普工作等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资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textAlignment w:val="auto"/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第十条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在襄阳市科学技术协会官网（http://www.xfkx.cn/）发布申报公告，通过襄阳智慧科协（https://www.xyast.net/）线上申报系统申报。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第四章  评审与命名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第十一条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 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市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科学技术协会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组织专家对申报单位进行评审，评审结果进行社会公示，公示期为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第十二条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经评审合格、公示无异议的申报单位，命名为“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襄阳市科普教育基地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”，有效期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jc w:val="center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第五章  支持与服务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第十三条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 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市科学技术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协会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择优推荐市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级科普基地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申报省级、国家级科普类基地。对已命名的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科普基地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申报的市科普类项目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进行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择优支持。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第十四条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各推荐单位应加强对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科普基地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的工作指导，为其提供必要的支持。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第十五条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科普基地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应将其科普资源、服务内容等信息主动面向社会公开，履行向社会公众开放、服务的功能，接受社会监督。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第十六条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命名到期后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可持续申报科普基地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经评审合格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持续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命名为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科普基地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第十七条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对有下列情形之一的，市科学技术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协会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将取消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科普基地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命名：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未履行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科普基地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义务，经告知仍不整改的；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有损害公众利益行为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有其它违法乱纪行为的。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jc w:val="center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第六章  附则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第十八条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  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本办法自20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日起实施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 w:firstLine="539"/>
        <w:jc w:val="left"/>
        <w:textAlignment w:val="auto"/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第十九条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本办法最终解释权归襄阳市科学技术协会。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52" w:beforeAutospacing="0" w:after="0" w:afterAutospacing="0" w:line="540" w:lineRule="atLeast"/>
        <w:ind w:left="0" w:right="0" w:firstLine="539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</w:p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B0EAC"/>
    <w:rsid w:val="02E7634E"/>
    <w:rsid w:val="06296F32"/>
    <w:rsid w:val="0A9173B4"/>
    <w:rsid w:val="0FAD6B0E"/>
    <w:rsid w:val="14D760EE"/>
    <w:rsid w:val="193A761D"/>
    <w:rsid w:val="1BB30D08"/>
    <w:rsid w:val="1D7C34D2"/>
    <w:rsid w:val="1EE75D15"/>
    <w:rsid w:val="26AE5F28"/>
    <w:rsid w:val="27967386"/>
    <w:rsid w:val="2B9D70DE"/>
    <w:rsid w:val="2FD0692E"/>
    <w:rsid w:val="35637154"/>
    <w:rsid w:val="36A30251"/>
    <w:rsid w:val="3B977156"/>
    <w:rsid w:val="47487EB1"/>
    <w:rsid w:val="49C112EC"/>
    <w:rsid w:val="4A7B3116"/>
    <w:rsid w:val="4ACB0EAC"/>
    <w:rsid w:val="4E761859"/>
    <w:rsid w:val="51B73B5C"/>
    <w:rsid w:val="592F3417"/>
    <w:rsid w:val="5BAC57CD"/>
    <w:rsid w:val="5C5344E2"/>
    <w:rsid w:val="5FEE9207"/>
    <w:rsid w:val="65546A37"/>
    <w:rsid w:val="69B00659"/>
    <w:rsid w:val="6DC38BE6"/>
    <w:rsid w:val="6DE90337"/>
    <w:rsid w:val="6E4971F1"/>
    <w:rsid w:val="6FDEE896"/>
    <w:rsid w:val="755322B5"/>
    <w:rsid w:val="785A0507"/>
    <w:rsid w:val="7C1A7DCD"/>
    <w:rsid w:val="7DF67CD1"/>
    <w:rsid w:val="7F3765D5"/>
    <w:rsid w:val="7FFF5E00"/>
    <w:rsid w:val="9B7F49AC"/>
    <w:rsid w:val="B35EB266"/>
    <w:rsid w:val="BFF78399"/>
    <w:rsid w:val="DDCC8B79"/>
    <w:rsid w:val="F7716A05"/>
    <w:rsid w:val="F9776189"/>
    <w:rsid w:val="FAF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2021-07-05T11:32:00Z</dcterms:created>
  <dc:creator>黄建</dc:creator>
  <cp:lastModifiedBy>黄建</cp:lastModifiedBy>
  <cp:lastPrinted>2023-06-21T00:44:00Z</cp:lastPrinted>
  <dcterms:modified xsi:type="dcterms:W3CDTF">2024-06-26T10:22:24Z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8869FA8A2124413E84B47B626E6E1F18</vt:lpwstr>
  </property>
</Properties>
</file>